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74F" w:rsidRPr="00AB174F" w:rsidRDefault="00AB174F" w:rsidP="002F121A">
      <w:pPr>
        <w:pStyle w:val="Default"/>
        <w:jc w:val="center"/>
        <w:rPr>
          <w:b/>
          <w:i/>
          <w:color w:val="FF0000"/>
          <w:sz w:val="20"/>
          <w:szCs w:val="20"/>
        </w:rPr>
      </w:pPr>
      <w:r w:rsidRPr="00AB174F">
        <w:rPr>
          <w:b/>
          <w:sz w:val="20"/>
          <w:szCs w:val="20"/>
        </w:rPr>
        <w:t>ХЕМИЛЮМИНЕСЦЕНТНЫЙ АНАЛИЗ АНТИОКСИДАНТНЫХ СВОЙСТВ ДИГИДРОКВЕРЦЕТИНА</w:t>
      </w:r>
    </w:p>
    <w:p w:rsidR="00F9751B" w:rsidRDefault="00F9751B" w:rsidP="002F121A">
      <w:pPr>
        <w:pStyle w:val="Default"/>
        <w:jc w:val="center"/>
        <w:rPr>
          <w:b/>
          <w:sz w:val="20"/>
          <w:szCs w:val="20"/>
        </w:rPr>
      </w:pPr>
      <w:r>
        <w:rPr>
          <w:b/>
          <w:i/>
          <w:color w:val="FF0000"/>
          <w:sz w:val="20"/>
          <w:szCs w:val="20"/>
        </w:rPr>
        <w:t>Заголовок</w:t>
      </w:r>
      <w:r w:rsidRPr="00AB174F">
        <w:rPr>
          <w:b/>
          <w:i/>
          <w:color w:val="FF0000"/>
          <w:sz w:val="20"/>
          <w:szCs w:val="20"/>
        </w:rPr>
        <w:t xml:space="preserve"> (на русском): </w:t>
      </w:r>
      <w:r w:rsidRPr="00F9751B">
        <w:rPr>
          <w:b/>
          <w:color w:val="FF0000"/>
          <w:sz w:val="20"/>
          <w:szCs w:val="20"/>
        </w:rPr>
        <w:t>ПРОПИСНЫМИ БУКВАМИ, ПОЛУЖИРНЫЙ ШРИФТ</w:t>
      </w:r>
    </w:p>
    <w:p w:rsidR="00AB174F" w:rsidRPr="00F9751B" w:rsidRDefault="00AB174F" w:rsidP="002F121A">
      <w:pPr>
        <w:pStyle w:val="Default"/>
        <w:jc w:val="center"/>
        <w:rPr>
          <w:b/>
          <w:i/>
          <w:color w:val="FF0000"/>
          <w:sz w:val="20"/>
          <w:szCs w:val="20"/>
          <w:lang w:val="en-US"/>
        </w:rPr>
      </w:pPr>
      <w:r>
        <w:rPr>
          <w:b/>
          <w:sz w:val="20"/>
          <w:szCs w:val="20"/>
        </w:rPr>
        <w:t>С</w:t>
      </w:r>
      <w:r w:rsidRPr="009103F4">
        <w:rPr>
          <w:b/>
          <w:sz w:val="20"/>
          <w:szCs w:val="20"/>
          <w:lang w:val="en-US"/>
        </w:rPr>
        <w:t>HEMILUMINESCENCE ANALYSIS</w:t>
      </w:r>
      <w:r>
        <w:rPr>
          <w:b/>
          <w:sz w:val="20"/>
          <w:szCs w:val="20"/>
          <w:lang w:val="en-US"/>
        </w:rPr>
        <w:t xml:space="preserve">OF </w:t>
      </w:r>
      <w:r w:rsidRPr="009103F4">
        <w:rPr>
          <w:b/>
          <w:sz w:val="20"/>
          <w:szCs w:val="20"/>
          <w:lang w:val="en-US"/>
        </w:rPr>
        <w:t>DIHYDROQUERCETIN</w:t>
      </w:r>
      <w:r>
        <w:rPr>
          <w:b/>
          <w:sz w:val="20"/>
          <w:szCs w:val="20"/>
          <w:lang w:val="en-US"/>
        </w:rPr>
        <w:t xml:space="preserve"> ANTIOXIDANT PROPERTIES</w:t>
      </w:r>
    </w:p>
    <w:p w:rsidR="002F121A" w:rsidRPr="00F9751B" w:rsidRDefault="00F9751B" w:rsidP="002F121A">
      <w:pPr>
        <w:pStyle w:val="Default"/>
        <w:jc w:val="center"/>
        <w:rPr>
          <w:b/>
          <w:color w:val="FF0000"/>
          <w:sz w:val="20"/>
          <w:szCs w:val="20"/>
          <w:lang w:val="en-US"/>
        </w:rPr>
      </w:pPr>
      <w:r>
        <w:rPr>
          <w:rStyle w:val="shorttext"/>
          <w:b/>
          <w:i/>
          <w:color w:val="FF0000"/>
          <w:sz w:val="20"/>
          <w:szCs w:val="20"/>
          <w:lang w:val="en-US"/>
        </w:rPr>
        <w:t>Capital</w:t>
      </w:r>
      <w:r w:rsidR="00AB174F" w:rsidRPr="00AB174F">
        <w:rPr>
          <w:rStyle w:val="shorttext"/>
          <w:b/>
          <w:i/>
          <w:color w:val="FF0000"/>
          <w:sz w:val="20"/>
          <w:szCs w:val="20"/>
          <w:lang w:val="en-US"/>
        </w:rPr>
        <w:t xml:space="preserve"> (</w:t>
      </w:r>
      <w:r w:rsidR="00AB174F" w:rsidRPr="00AB174F">
        <w:rPr>
          <w:rStyle w:val="shorttext"/>
          <w:b/>
          <w:i/>
          <w:color w:val="FF0000"/>
          <w:sz w:val="20"/>
          <w:szCs w:val="20"/>
        </w:rPr>
        <w:t>на</w:t>
      </w:r>
      <w:r w:rsidR="00AB174F" w:rsidRPr="00AB174F">
        <w:rPr>
          <w:rStyle w:val="shorttext"/>
          <w:b/>
          <w:i/>
          <w:color w:val="FF0000"/>
          <w:sz w:val="20"/>
          <w:szCs w:val="20"/>
          <w:lang w:val="en-US"/>
        </w:rPr>
        <w:t xml:space="preserve"> </w:t>
      </w:r>
      <w:r w:rsidR="00AB174F" w:rsidRPr="00AB174F">
        <w:rPr>
          <w:rStyle w:val="shorttext"/>
          <w:b/>
          <w:i/>
          <w:color w:val="FF0000"/>
          <w:sz w:val="20"/>
          <w:szCs w:val="20"/>
        </w:rPr>
        <w:t>английском</w:t>
      </w:r>
      <w:r w:rsidR="00AB174F" w:rsidRPr="00AB174F">
        <w:rPr>
          <w:rStyle w:val="shorttext"/>
          <w:b/>
          <w:i/>
          <w:color w:val="FF0000"/>
          <w:sz w:val="20"/>
          <w:szCs w:val="20"/>
          <w:lang w:val="en-US"/>
        </w:rPr>
        <w:t>)</w:t>
      </w:r>
      <w:r w:rsidR="002F121A" w:rsidRPr="00AB174F">
        <w:rPr>
          <w:rStyle w:val="shorttext"/>
          <w:b/>
          <w:i/>
          <w:color w:val="FF0000"/>
          <w:sz w:val="20"/>
          <w:szCs w:val="20"/>
          <w:lang w:val="en-US"/>
        </w:rPr>
        <w:t>:</w:t>
      </w:r>
      <w:r w:rsidR="002F121A" w:rsidRPr="00AB174F">
        <w:rPr>
          <w:rStyle w:val="shorttext"/>
          <w:b/>
          <w:i/>
          <w:color w:val="FF0000"/>
          <w:sz w:val="20"/>
          <w:szCs w:val="20"/>
          <w:lang w:val="en"/>
        </w:rPr>
        <w:t xml:space="preserve"> </w:t>
      </w:r>
      <w:r w:rsidR="002F121A" w:rsidRPr="00F9751B">
        <w:rPr>
          <w:rStyle w:val="shorttext"/>
          <w:b/>
          <w:color w:val="FF0000"/>
          <w:sz w:val="20"/>
          <w:szCs w:val="20"/>
          <w:lang w:val="en"/>
        </w:rPr>
        <w:t xml:space="preserve">CAPITAL LETTERS, </w:t>
      </w:r>
      <w:r w:rsidR="002F121A" w:rsidRPr="00F9751B">
        <w:rPr>
          <w:rStyle w:val="shorttext"/>
          <w:b/>
          <w:color w:val="FF0000"/>
          <w:sz w:val="20"/>
          <w:szCs w:val="20"/>
          <w:lang w:val="en-US"/>
        </w:rPr>
        <w:t>BOLD</w:t>
      </w:r>
      <w:r w:rsidR="002F121A" w:rsidRPr="00F9751B">
        <w:rPr>
          <w:rStyle w:val="shorttext"/>
          <w:b/>
          <w:color w:val="FF0000"/>
          <w:sz w:val="20"/>
          <w:szCs w:val="20"/>
          <w:lang w:val="en"/>
        </w:rPr>
        <w:t xml:space="preserve"> FONT</w:t>
      </w:r>
    </w:p>
    <w:p w:rsidR="00FE46D3" w:rsidRPr="00AB174F" w:rsidRDefault="00FE46D3" w:rsidP="00FE46D3">
      <w:pPr>
        <w:pStyle w:val="Default"/>
        <w:jc w:val="both"/>
        <w:rPr>
          <w:i/>
          <w:color w:val="FF0000"/>
          <w:sz w:val="20"/>
          <w:szCs w:val="20"/>
        </w:rPr>
      </w:pPr>
      <w:r w:rsidRPr="00AB174F">
        <w:rPr>
          <w:i/>
          <w:color w:val="FF0000"/>
          <w:sz w:val="20"/>
          <w:szCs w:val="20"/>
        </w:rPr>
        <w:t xml:space="preserve">(пустая строка перед списком </w:t>
      </w:r>
      <w:r>
        <w:rPr>
          <w:i/>
          <w:color w:val="FF0000"/>
          <w:sz w:val="20"/>
          <w:szCs w:val="20"/>
        </w:rPr>
        <w:t>авторов</w:t>
      </w:r>
      <w:r w:rsidRPr="00AB174F">
        <w:rPr>
          <w:i/>
          <w:color w:val="FF0000"/>
          <w:sz w:val="20"/>
          <w:szCs w:val="20"/>
        </w:rPr>
        <w:t>)</w:t>
      </w:r>
    </w:p>
    <w:p w:rsidR="002F121A" w:rsidRPr="00D30FD8" w:rsidRDefault="007403ED" w:rsidP="002F121A">
      <w:pPr>
        <w:pStyle w:val="Default"/>
        <w:jc w:val="center"/>
        <w:rPr>
          <w:b/>
          <w:i/>
          <w:sz w:val="20"/>
          <w:szCs w:val="20"/>
        </w:rPr>
      </w:pPr>
      <w:r w:rsidRPr="00AB174F">
        <w:rPr>
          <w:b/>
          <w:i/>
          <w:sz w:val="20"/>
          <w:szCs w:val="20"/>
        </w:rPr>
        <w:t>Иванов</w:t>
      </w:r>
      <w:r w:rsidR="002F121A" w:rsidRPr="00AB174F">
        <w:rPr>
          <w:b/>
          <w:i/>
          <w:sz w:val="20"/>
          <w:szCs w:val="20"/>
        </w:rPr>
        <w:t xml:space="preserve"> И.О., </w:t>
      </w:r>
      <w:r w:rsidRPr="00AB174F">
        <w:rPr>
          <w:b/>
          <w:i/>
          <w:sz w:val="20"/>
          <w:szCs w:val="20"/>
        </w:rPr>
        <w:t>Петров</w:t>
      </w:r>
      <w:r w:rsidR="002F121A" w:rsidRPr="00AB174F">
        <w:rPr>
          <w:b/>
          <w:i/>
          <w:sz w:val="20"/>
          <w:szCs w:val="20"/>
        </w:rPr>
        <w:t xml:space="preserve"> Д.А.</w:t>
      </w:r>
      <w:r w:rsidR="00D30FD8">
        <w:rPr>
          <w:b/>
          <w:i/>
          <w:sz w:val="20"/>
          <w:szCs w:val="20"/>
          <w:vertAlign w:val="superscript"/>
        </w:rPr>
        <w:t>1</w:t>
      </w:r>
      <w:r w:rsidR="002F121A" w:rsidRPr="00AB174F">
        <w:rPr>
          <w:b/>
          <w:i/>
          <w:sz w:val="20"/>
          <w:szCs w:val="20"/>
        </w:rPr>
        <w:t xml:space="preserve">, </w:t>
      </w:r>
      <w:r w:rsidRPr="00AB174F">
        <w:rPr>
          <w:b/>
          <w:i/>
          <w:sz w:val="20"/>
          <w:szCs w:val="20"/>
        </w:rPr>
        <w:t>Сидоров</w:t>
      </w:r>
      <w:r w:rsidR="002F121A" w:rsidRPr="00AB174F">
        <w:rPr>
          <w:b/>
          <w:i/>
          <w:sz w:val="20"/>
          <w:szCs w:val="20"/>
        </w:rPr>
        <w:t xml:space="preserve"> Н.Е.</w:t>
      </w:r>
      <w:r w:rsidR="00D30FD8">
        <w:rPr>
          <w:b/>
          <w:i/>
          <w:sz w:val="20"/>
          <w:szCs w:val="20"/>
          <w:vertAlign w:val="superscript"/>
        </w:rPr>
        <w:t>2</w:t>
      </w:r>
      <w:r w:rsidR="00D30FD8">
        <w:rPr>
          <w:b/>
          <w:i/>
          <w:sz w:val="20"/>
          <w:szCs w:val="20"/>
        </w:rPr>
        <w:t>, Кузнецов Н.С., Оганесян Л.С</w:t>
      </w:r>
      <w:bookmarkStart w:id="0" w:name="_GoBack"/>
      <w:bookmarkEnd w:id="0"/>
      <w:r w:rsidR="00D30FD8" w:rsidRPr="00D30FD8">
        <w:rPr>
          <w:b/>
          <w:i/>
          <w:sz w:val="20"/>
          <w:szCs w:val="20"/>
          <w:vertAlign w:val="superscript"/>
        </w:rPr>
        <w:t xml:space="preserve"> </w:t>
      </w:r>
      <w:r w:rsidR="00D30FD8">
        <w:rPr>
          <w:b/>
          <w:i/>
          <w:sz w:val="20"/>
          <w:szCs w:val="20"/>
          <w:vertAlign w:val="superscript"/>
        </w:rPr>
        <w:t>2</w:t>
      </w:r>
    </w:p>
    <w:p w:rsidR="002F121A" w:rsidRPr="00AB174F" w:rsidRDefault="002F121A" w:rsidP="00E47174">
      <w:pPr>
        <w:pStyle w:val="Default"/>
        <w:jc w:val="center"/>
        <w:rPr>
          <w:sz w:val="20"/>
          <w:szCs w:val="20"/>
        </w:rPr>
      </w:pPr>
      <w:r w:rsidRPr="00AB174F">
        <w:rPr>
          <w:sz w:val="20"/>
          <w:szCs w:val="20"/>
        </w:rPr>
        <w:t xml:space="preserve">Организация, город, </w:t>
      </w:r>
      <w:r w:rsidR="00AB174F" w:rsidRPr="00AB174F">
        <w:rPr>
          <w:sz w:val="20"/>
          <w:szCs w:val="20"/>
          <w:lang w:val="en-US"/>
        </w:rPr>
        <w:t>E</w:t>
      </w:r>
      <w:r w:rsidR="00AB174F" w:rsidRPr="00AB174F">
        <w:rPr>
          <w:sz w:val="20"/>
          <w:szCs w:val="20"/>
        </w:rPr>
        <w:t>-</w:t>
      </w:r>
      <w:proofErr w:type="spellStart"/>
      <w:r w:rsidR="00AB174F" w:rsidRPr="00AB174F">
        <w:rPr>
          <w:sz w:val="20"/>
          <w:szCs w:val="20"/>
        </w:rPr>
        <w:t>mail</w:t>
      </w:r>
      <w:proofErr w:type="spellEnd"/>
      <w:r w:rsidR="00AB174F" w:rsidRPr="00AB174F">
        <w:rPr>
          <w:sz w:val="20"/>
          <w:szCs w:val="20"/>
        </w:rPr>
        <w:t xml:space="preserve"> (</w:t>
      </w:r>
      <w:r w:rsidR="00AB174F" w:rsidRPr="00AB174F">
        <w:rPr>
          <w:i/>
          <w:color w:val="FF0000"/>
          <w:sz w:val="20"/>
          <w:szCs w:val="20"/>
        </w:rPr>
        <w:t>при желании</w:t>
      </w:r>
      <w:r w:rsidR="00AB174F" w:rsidRPr="00AB174F">
        <w:rPr>
          <w:sz w:val="20"/>
          <w:szCs w:val="20"/>
        </w:rPr>
        <w:t>)</w:t>
      </w:r>
    </w:p>
    <w:p w:rsidR="00AB174F" w:rsidRPr="00AB174F" w:rsidRDefault="00D30FD8" w:rsidP="00AB174F">
      <w:pPr>
        <w:pStyle w:val="Default"/>
        <w:jc w:val="center"/>
        <w:rPr>
          <w:sz w:val="20"/>
          <w:szCs w:val="20"/>
        </w:rPr>
      </w:pPr>
      <w:r>
        <w:rPr>
          <w:sz w:val="20"/>
          <w:szCs w:val="20"/>
          <w:vertAlign w:val="superscript"/>
        </w:rPr>
        <w:t>1</w:t>
      </w:r>
      <w:r w:rsidR="00AB174F" w:rsidRPr="00AB174F">
        <w:rPr>
          <w:sz w:val="20"/>
          <w:szCs w:val="20"/>
        </w:rPr>
        <w:t xml:space="preserve">Организация, город, </w:t>
      </w:r>
      <w:r w:rsidR="00AB174F" w:rsidRPr="00AB174F">
        <w:rPr>
          <w:sz w:val="20"/>
          <w:szCs w:val="20"/>
          <w:lang w:val="en-US"/>
        </w:rPr>
        <w:t>E</w:t>
      </w:r>
      <w:r w:rsidR="00AB174F" w:rsidRPr="00AB174F">
        <w:rPr>
          <w:sz w:val="20"/>
          <w:szCs w:val="20"/>
        </w:rPr>
        <w:t>-</w:t>
      </w:r>
      <w:proofErr w:type="spellStart"/>
      <w:r w:rsidR="00AB174F" w:rsidRPr="00AB174F">
        <w:rPr>
          <w:sz w:val="20"/>
          <w:szCs w:val="20"/>
        </w:rPr>
        <w:t>mail</w:t>
      </w:r>
      <w:proofErr w:type="spellEnd"/>
      <w:r w:rsidR="00AB174F" w:rsidRPr="00AB174F">
        <w:rPr>
          <w:sz w:val="20"/>
          <w:szCs w:val="20"/>
        </w:rPr>
        <w:t xml:space="preserve"> (</w:t>
      </w:r>
      <w:r w:rsidR="00AB174F" w:rsidRPr="00AB174F">
        <w:rPr>
          <w:i/>
          <w:color w:val="FF0000"/>
          <w:sz w:val="20"/>
          <w:szCs w:val="20"/>
        </w:rPr>
        <w:t>при желании</w:t>
      </w:r>
      <w:r w:rsidR="00AB174F" w:rsidRPr="00AB174F">
        <w:rPr>
          <w:sz w:val="20"/>
          <w:szCs w:val="20"/>
        </w:rPr>
        <w:t>)</w:t>
      </w:r>
    </w:p>
    <w:p w:rsidR="00AB174F" w:rsidRPr="00AB174F" w:rsidRDefault="00D30FD8" w:rsidP="00AB174F">
      <w:pPr>
        <w:pStyle w:val="Default"/>
        <w:jc w:val="center"/>
        <w:rPr>
          <w:sz w:val="20"/>
          <w:szCs w:val="20"/>
        </w:rPr>
      </w:pPr>
      <w:r>
        <w:rPr>
          <w:sz w:val="20"/>
          <w:szCs w:val="20"/>
          <w:vertAlign w:val="superscript"/>
        </w:rPr>
        <w:t>2</w:t>
      </w:r>
      <w:r w:rsidR="00AB174F" w:rsidRPr="00AB174F">
        <w:rPr>
          <w:sz w:val="20"/>
          <w:szCs w:val="20"/>
        </w:rPr>
        <w:t xml:space="preserve">Организация, город, </w:t>
      </w:r>
      <w:r w:rsidR="00AB174F" w:rsidRPr="00AB174F">
        <w:rPr>
          <w:sz w:val="20"/>
          <w:szCs w:val="20"/>
          <w:lang w:val="en-US"/>
        </w:rPr>
        <w:t>E</w:t>
      </w:r>
      <w:r w:rsidR="00AB174F" w:rsidRPr="00AB174F">
        <w:rPr>
          <w:sz w:val="20"/>
          <w:szCs w:val="20"/>
        </w:rPr>
        <w:t>-</w:t>
      </w:r>
      <w:proofErr w:type="spellStart"/>
      <w:r w:rsidR="00AB174F" w:rsidRPr="00AB174F">
        <w:rPr>
          <w:sz w:val="20"/>
          <w:szCs w:val="20"/>
        </w:rPr>
        <w:t>mail</w:t>
      </w:r>
      <w:proofErr w:type="spellEnd"/>
      <w:r w:rsidR="00AB174F" w:rsidRPr="00AB174F">
        <w:rPr>
          <w:sz w:val="20"/>
          <w:szCs w:val="20"/>
        </w:rPr>
        <w:t xml:space="preserve"> (</w:t>
      </w:r>
      <w:r w:rsidR="00AB174F" w:rsidRPr="00AB174F">
        <w:rPr>
          <w:i/>
          <w:color w:val="FF0000"/>
          <w:sz w:val="20"/>
          <w:szCs w:val="20"/>
        </w:rPr>
        <w:t>при желании</w:t>
      </w:r>
      <w:r w:rsidR="00AB174F" w:rsidRPr="00AB174F">
        <w:rPr>
          <w:sz w:val="20"/>
          <w:szCs w:val="20"/>
        </w:rPr>
        <w:t>)</w:t>
      </w:r>
    </w:p>
    <w:p w:rsidR="003E48D9" w:rsidRPr="00AB174F" w:rsidRDefault="003E48D9" w:rsidP="003E48D9">
      <w:pPr>
        <w:pStyle w:val="Default"/>
        <w:jc w:val="both"/>
        <w:rPr>
          <w:i/>
          <w:color w:val="FF0000"/>
          <w:sz w:val="20"/>
          <w:szCs w:val="20"/>
        </w:rPr>
      </w:pPr>
      <w:r w:rsidRPr="00AB174F">
        <w:rPr>
          <w:i/>
          <w:color w:val="FF0000"/>
          <w:sz w:val="20"/>
          <w:szCs w:val="20"/>
        </w:rPr>
        <w:t>(пустая строка перед</w:t>
      </w:r>
      <w:r>
        <w:rPr>
          <w:i/>
          <w:color w:val="FF0000"/>
          <w:sz w:val="20"/>
          <w:szCs w:val="20"/>
        </w:rPr>
        <w:t xml:space="preserve"> текстом тезисов</w:t>
      </w:r>
      <w:r w:rsidRPr="00AB174F">
        <w:rPr>
          <w:i/>
          <w:color w:val="FF0000"/>
          <w:sz w:val="20"/>
          <w:szCs w:val="20"/>
        </w:rPr>
        <w:t>)</w:t>
      </w:r>
    </w:p>
    <w:p w:rsidR="00E47174" w:rsidRPr="00AB174F" w:rsidRDefault="00E47174" w:rsidP="00E47174">
      <w:pPr>
        <w:pStyle w:val="Default"/>
        <w:ind w:firstLine="540"/>
        <w:jc w:val="both"/>
        <w:rPr>
          <w:sz w:val="20"/>
          <w:szCs w:val="20"/>
        </w:rPr>
      </w:pPr>
      <w:r w:rsidRPr="00F9751B">
        <w:rPr>
          <w:i/>
          <w:color w:val="0070C0"/>
          <w:sz w:val="20"/>
          <w:szCs w:val="20"/>
        </w:rPr>
        <w:t xml:space="preserve">Текст тезисов (отступ 1 см, шрифт </w:t>
      </w:r>
      <w:proofErr w:type="spellStart"/>
      <w:r w:rsidRPr="00F9751B">
        <w:rPr>
          <w:i/>
          <w:color w:val="0070C0"/>
          <w:sz w:val="20"/>
          <w:szCs w:val="20"/>
        </w:rPr>
        <w:t>Times</w:t>
      </w:r>
      <w:proofErr w:type="spellEnd"/>
      <w:r w:rsidRPr="00F9751B">
        <w:rPr>
          <w:i/>
          <w:color w:val="0070C0"/>
          <w:sz w:val="20"/>
          <w:szCs w:val="20"/>
        </w:rPr>
        <w:t xml:space="preserve"> </w:t>
      </w:r>
      <w:proofErr w:type="spellStart"/>
      <w:r w:rsidRPr="00F9751B">
        <w:rPr>
          <w:i/>
          <w:color w:val="0070C0"/>
          <w:sz w:val="20"/>
          <w:szCs w:val="20"/>
        </w:rPr>
        <w:t>New</w:t>
      </w:r>
      <w:proofErr w:type="spellEnd"/>
      <w:r w:rsidRPr="00F9751B">
        <w:rPr>
          <w:i/>
          <w:color w:val="0070C0"/>
          <w:sz w:val="20"/>
          <w:szCs w:val="20"/>
        </w:rPr>
        <w:t xml:space="preserve"> </w:t>
      </w:r>
      <w:proofErr w:type="spellStart"/>
      <w:r w:rsidRPr="00F9751B">
        <w:rPr>
          <w:i/>
          <w:color w:val="0070C0"/>
          <w:sz w:val="20"/>
          <w:szCs w:val="20"/>
        </w:rPr>
        <w:t>Roman</w:t>
      </w:r>
      <w:proofErr w:type="spellEnd"/>
      <w:r w:rsidRPr="00F9751B">
        <w:rPr>
          <w:i/>
          <w:color w:val="0070C0"/>
          <w:sz w:val="20"/>
          <w:szCs w:val="20"/>
        </w:rPr>
        <w:t>, 1</w:t>
      </w:r>
      <w:r w:rsidR="00AB174F" w:rsidRPr="00F9751B">
        <w:rPr>
          <w:i/>
          <w:color w:val="0070C0"/>
          <w:sz w:val="20"/>
          <w:szCs w:val="20"/>
        </w:rPr>
        <w:t>0</w:t>
      </w:r>
      <w:r w:rsidRPr="00F9751B">
        <w:rPr>
          <w:i/>
          <w:color w:val="0070C0"/>
          <w:sz w:val="20"/>
          <w:szCs w:val="20"/>
        </w:rPr>
        <w:t xml:space="preserve"> </w:t>
      </w:r>
      <w:proofErr w:type="spellStart"/>
      <w:r w:rsidRPr="00F9751B">
        <w:rPr>
          <w:i/>
          <w:color w:val="0070C0"/>
          <w:sz w:val="20"/>
          <w:szCs w:val="20"/>
        </w:rPr>
        <w:t>пт</w:t>
      </w:r>
      <w:proofErr w:type="spellEnd"/>
      <w:r w:rsidRPr="00F9751B">
        <w:rPr>
          <w:i/>
          <w:color w:val="0070C0"/>
          <w:sz w:val="20"/>
          <w:szCs w:val="20"/>
        </w:rPr>
        <w:t>, межстрочный интервал 1,0. Выравнивание текста по ширине)</w:t>
      </w:r>
      <w:r w:rsidRPr="00F9751B">
        <w:rPr>
          <w:color w:val="0070C0"/>
          <w:sz w:val="20"/>
          <w:szCs w:val="20"/>
        </w:rPr>
        <w:t>.</w:t>
      </w:r>
      <w:r w:rsidR="003E48D9" w:rsidRPr="00F9751B">
        <w:rPr>
          <w:color w:val="0070C0"/>
          <w:sz w:val="20"/>
          <w:szCs w:val="20"/>
        </w:rPr>
        <w:t xml:space="preserve"> </w:t>
      </w:r>
      <w:r w:rsidR="003E48D9" w:rsidRPr="006B342B">
        <w:rPr>
          <w:sz w:val="20"/>
          <w:szCs w:val="20"/>
        </w:rPr>
        <w:t xml:space="preserve">Одной из основных проблем биологии является установление взаимосвязей организма со средой. В настоящее время исследованию фундаментальных механизмов биологии развития посвящены многочисленные работы, поскольку изменения, происходящие от момента оплодотворения яйцеклетки до взрослого многоклеточного организма, ставят многочисленные вопросы, связанные с формированием сложнейшей многоуровневой постоянно усложняющейся системы. В динамике она проходит ряд стадий: появление </w:t>
      </w:r>
      <w:proofErr w:type="spellStart"/>
      <w:r w:rsidR="003E48D9" w:rsidRPr="006B342B">
        <w:rPr>
          <w:sz w:val="20"/>
          <w:szCs w:val="20"/>
        </w:rPr>
        <w:t>многоклеточности</w:t>
      </w:r>
      <w:proofErr w:type="spellEnd"/>
      <w:r w:rsidR="003E48D9" w:rsidRPr="006B342B">
        <w:rPr>
          <w:sz w:val="20"/>
          <w:szCs w:val="20"/>
        </w:rPr>
        <w:t xml:space="preserve"> в процессе дробления, сложные клеточные перемещения, дифференцировку и взаимодействие разных типов клеток с межклеточными структурами и между собой, что приводит к созданию отдельных органов, объединенных в разные функциональные системы организма. Эмбрион постоянно взаимодействует с окружающей средой через оболочки, как на физическом, так и на химическом уровне</w:t>
      </w:r>
      <w:r w:rsidR="003E48D9" w:rsidRPr="00AB174F">
        <w:rPr>
          <w:sz w:val="20"/>
          <w:szCs w:val="20"/>
        </w:rPr>
        <w:t xml:space="preserve"> </w:t>
      </w:r>
      <w:r w:rsidR="00DF7175" w:rsidRPr="00AB174F">
        <w:rPr>
          <w:sz w:val="20"/>
          <w:szCs w:val="20"/>
        </w:rPr>
        <w:fldChar w:fldCharType="begin"/>
      </w:r>
      <w:r w:rsidR="00DF7175" w:rsidRPr="00AB174F">
        <w:rPr>
          <w:sz w:val="20"/>
          <w:szCs w:val="20"/>
        </w:rPr>
        <w:instrText xml:space="preserve"> ADDIN ZOTERO_ITEM CSL_CITATION {"citationID":"xqlBRlM4","properties":{"formattedCitation":"[1]","plainCitation":"[1]","noteIndex":0},"citationItems":[{"id":3711,"uris":["http://zotero.org/users/1536832/items/HNXCYTFV"],"uri":["http://zotero.org/users/1536832/items/HNXCYTFV"],"itemData":{"id":3711,"type":"article-journal","title":"A redox mechanism underlying nucleolar stress sensing by nucleophosmin","container-title":"Nature Communications","page":"13599","volume":"7","source":"PubMed","abstract":"The nucleolus has been recently described as a stress sensor. The nucleoplasmic translocation of nucleolar protein nucleophosmin (NPM1) is a hallmark of nucleolar stress; however, the causes of this translocation and its connection to p53 activation are unclear. Using single live-cell imaging and the redox biosensors, we demonstrate that nucleolar oxidation is a general response to various cellular stresses. During nucleolar oxidation, NPM1 undergoes S-glutathionylation on cysteine 275, which triggers the dissociation of NPM1 from nucleolar nucleic acids. The C275S mutant NPM1, unable to be glutathionylated, remains in the nucleolus under nucleolar stress. Compared with wild-type NPM1 that can disrupt the p53-HDM2 interaction, the C275S mutant greatly compromises the activation of p53, highlighting that nucleoplasmic translocation of NPM1 is a prerequisite for stress-induced activation of p53. This study elucidates a redox mechanism for the nucleolar stress sensing and may help the development of therapeutic strategies.","DOI":"10.1038/ncomms13599","ISSN":"2041-1723","note":"PMID: 27886181\nPMCID: PMC5133708","journalAbbreviation":"Nat Commun","language":"eng","author":[{"family":"Yang","given":"Kai"},{"family":"Wang","given":"Ming"},{"family":"Zhao","given":"Yuzheng"},{"family":"Sun","given":"Xuxu"},{"family":"Yang","given":"Yi"},{"family":"Li","given":"Xie"},{"family":"Zhou","given":"Aiwu"},{"family":"Chu","given":"Huilin"},{"family":"Zhou","given":"Hu"},{"family":"Xu","given":"Jianrong"},{"family":"Wu","given":"Mian"},{"family":"Yang","given":"Jie"},{"family":"Yi","given":"Jing"}],"issued":{"date-parts":[["2016"]],"season":"25"}}}],"schema":"https://github.com/citation-style-language/schema/raw/master/csl-citation.json"} </w:instrText>
      </w:r>
      <w:r w:rsidR="00DF7175" w:rsidRPr="00AB174F">
        <w:rPr>
          <w:sz w:val="20"/>
          <w:szCs w:val="20"/>
        </w:rPr>
        <w:fldChar w:fldCharType="separate"/>
      </w:r>
      <w:r w:rsidR="00DF7175" w:rsidRPr="00AB174F">
        <w:rPr>
          <w:sz w:val="20"/>
          <w:szCs w:val="20"/>
        </w:rPr>
        <w:t>[1]</w:t>
      </w:r>
      <w:r w:rsidR="00DF7175" w:rsidRPr="00AB174F">
        <w:rPr>
          <w:sz w:val="20"/>
          <w:szCs w:val="20"/>
        </w:rPr>
        <w:fldChar w:fldCharType="end"/>
      </w:r>
      <w:r w:rsidR="003E48D9">
        <w:rPr>
          <w:sz w:val="20"/>
          <w:szCs w:val="20"/>
        </w:rPr>
        <w:t>.</w:t>
      </w:r>
    </w:p>
    <w:p w:rsidR="00E47174" w:rsidRPr="00AB174F" w:rsidRDefault="003E48D9" w:rsidP="00E47174">
      <w:pPr>
        <w:pStyle w:val="Default"/>
        <w:ind w:firstLine="540"/>
        <w:jc w:val="both"/>
        <w:rPr>
          <w:sz w:val="20"/>
          <w:szCs w:val="20"/>
        </w:rPr>
      </w:pPr>
      <w:r w:rsidRPr="00F9751B">
        <w:rPr>
          <w:i/>
          <w:color w:val="0070C0"/>
          <w:sz w:val="20"/>
          <w:szCs w:val="20"/>
        </w:rPr>
        <w:t xml:space="preserve">Текст тезисов (отступ 1 см, шрифт </w:t>
      </w:r>
      <w:proofErr w:type="spellStart"/>
      <w:r w:rsidRPr="00F9751B">
        <w:rPr>
          <w:i/>
          <w:color w:val="0070C0"/>
          <w:sz w:val="20"/>
          <w:szCs w:val="20"/>
        </w:rPr>
        <w:t>Times</w:t>
      </w:r>
      <w:proofErr w:type="spellEnd"/>
      <w:r w:rsidRPr="00F9751B">
        <w:rPr>
          <w:i/>
          <w:color w:val="0070C0"/>
          <w:sz w:val="20"/>
          <w:szCs w:val="20"/>
        </w:rPr>
        <w:t xml:space="preserve"> </w:t>
      </w:r>
      <w:proofErr w:type="spellStart"/>
      <w:r w:rsidRPr="00F9751B">
        <w:rPr>
          <w:i/>
          <w:color w:val="0070C0"/>
          <w:sz w:val="20"/>
          <w:szCs w:val="20"/>
        </w:rPr>
        <w:t>New</w:t>
      </w:r>
      <w:proofErr w:type="spellEnd"/>
      <w:r w:rsidRPr="00F9751B">
        <w:rPr>
          <w:i/>
          <w:color w:val="0070C0"/>
          <w:sz w:val="20"/>
          <w:szCs w:val="20"/>
        </w:rPr>
        <w:t xml:space="preserve"> </w:t>
      </w:r>
      <w:proofErr w:type="spellStart"/>
      <w:r w:rsidRPr="00F9751B">
        <w:rPr>
          <w:i/>
          <w:color w:val="0070C0"/>
          <w:sz w:val="20"/>
          <w:szCs w:val="20"/>
        </w:rPr>
        <w:t>Roman</w:t>
      </w:r>
      <w:proofErr w:type="spellEnd"/>
      <w:r w:rsidRPr="00F9751B">
        <w:rPr>
          <w:i/>
          <w:color w:val="0070C0"/>
          <w:sz w:val="20"/>
          <w:szCs w:val="20"/>
        </w:rPr>
        <w:t xml:space="preserve">, 10 </w:t>
      </w:r>
      <w:proofErr w:type="spellStart"/>
      <w:r w:rsidRPr="00F9751B">
        <w:rPr>
          <w:i/>
          <w:color w:val="0070C0"/>
          <w:sz w:val="20"/>
          <w:szCs w:val="20"/>
        </w:rPr>
        <w:t>пт</w:t>
      </w:r>
      <w:proofErr w:type="spellEnd"/>
      <w:r w:rsidRPr="00F9751B">
        <w:rPr>
          <w:i/>
          <w:color w:val="0070C0"/>
          <w:sz w:val="20"/>
          <w:szCs w:val="20"/>
        </w:rPr>
        <w:t>, межстрочный интервал 1,0. Выравнивание текста по ширине)</w:t>
      </w:r>
      <w:r w:rsidRPr="00F9751B">
        <w:rPr>
          <w:color w:val="0070C0"/>
          <w:sz w:val="20"/>
          <w:szCs w:val="20"/>
        </w:rPr>
        <w:t>.</w:t>
      </w:r>
      <w:r>
        <w:rPr>
          <w:sz w:val="20"/>
          <w:szCs w:val="20"/>
        </w:rPr>
        <w:t xml:space="preserve"> </w:t>
      </w:r>
      <w:r w:rsidRPr="008844DC">
        <w:rPr>
          <w:sz w:val="20"/>
          <w:szCs w:val="20"/>
        </w:rPr>
        <w:t xml:space="preserve">В то же время, при возникновении условий, ослабляющих силу </w:t>
      </w:r>
      <w:proofErr w:type="spellStart"/>
      <w:r w:rsidRPr="008844DC">
        <w:rPr>
          <w:sz w:val="20"/>
          <w:szCs w:val="20"/>
        </w:rPr>
        <w:t>межспиральных</w:t>
      </w:r>
      <w:proofErr w:type="spellEnd"/>
      <w:r w:rsidRPr="008844DC">
        <w:rPr>
          <w:sz w:val="20"/>
          <w:szCs w:val="20"/>
        </w:rPr>
        <w:t xml:space="preserve"> водородных связей в молекуле ДНК, наличие атома дейтерия увеличивает частоту возникновения открытых состояний, повышая, таким образом, риск мутаций за счет большей доступности азотистых оснований к повреждающим воздействиям неблагоприятных внешних факторов. Последнее подтверждает возможность возрастания частоты спонтанных мутаций, опосредованных влиянием атомов дейтерия на молекулярную динамику </w:t>
      </w:r>
      <w:proofErr w:type="spellStart"/>
      <w:r w:rsidRPr="008844DC">
        <w:rPr>
          <w:sz w:val="20"/>
          <w:szCs w:val="20"/>
        </w:rPr>
        <w:t>двухцепочечной</w:t>
      </w:r>
      <w:proofErr w:type="spellEnd"/>
      <w:r w:rsidRPr="008844DC">
        <w:rPr>
          <w:sz w:val="20"/>
          <w:szCs w:val="20"/>
        </w:rPr>
        <w:t xml:space="preserve"> ДНК, что может играть существенную роль в процессе эволюции живых организмов. Полученные результаты также показывают неравноценность отдельных термодинамических/кинетических эффектов, связанных </w:t>
      </w:r>
      <w:proofErr w:type="gramStart"/>
      <w:r w:rsidRPr="008844DC">
        <w:rPr>
          <w:sz w:val="20"/>
          <w:szCs w:val="20"/>
        </w:rPr>
        <w:t>с заменой дейтерия</w:t>
      </w:r>
      <w:proofErr w:type="gramEnd"/>
      <w:r w:rsidRPr="008844DC">
        <w:rPr>
          <w:sz w:val="20"/>
          <w:szCs w:val="20"/>
        </w:rPr>
        <w:t xml:space="preserve"> на протий в молекуле ДН</w:t>
      </w:r>
      <w:r>
        <w:rPr>
          <w:sz w:val="20"/>
          <w:szCs w:val="20"/>
        </w:rPr>
        <w:t>К, что указывает на способность</w:t>
      </w:r>
      <w:r w:rsidRPr="008844DC">
        <w:rPr>
          <w:sz w:val="20"/>
          <w:szCs w:val="20"/>
        </w:rPr>
        <w:t xml:space="preserve"> реакций D/H обмена регулировать скорость жизненно важных процессов биологически активных систем (например, считывание генетической информации). Таким образом, не исключается вероятность наличия у живых организмов особых механизмов различного уровня организации, осуществляющих долговременную ад</w:t>
      </w:r>
      <w:r>
        <w:rPr>
          <w:sz w:val="20"/>
          <w:szCs w:val="20"/>
        </w:rPr>
        <w:t>аптацию к выраженным колебаниям</w:t>
      </w:r>
      <w:r w:rsidRPr="008844DC">
        <w:rPr>
          <w:sz w:val="20"/>
          <w:szCs w:val="20"/>
        </w:rPr>
        <w:t xml:space="preserve"> D/H соотношения в окружающей среде</w:t>
      </w:r>
      <w:r>
        <w:rPr>
          <w:sz w:val="20"/>
          <w:szCs w:val="20"/>
        </w:rPr>
        <w:t xml:space="preserve"> </w:t>
      </w:r>
      <w:r w:rsidR="00DF7175" w:rsidRPr="00AB174F">
        <w:rPr>
          <w:sz w:val="20"/>
          <w:szCs w:val="20"/>
        </w:rPr>
        <w:fldChar w:fldCharType="begin"/>
      </w:r>
      <w:r w:rsidR="00DF7175" w:rsidRPr="00AB174F">
        <w:rPr>
          <w:sz w:val="20"/>
          <w:szCs w:val="20"/>
        </w:rPr>
        <w:instrText xml:space="preserve"> ADDIN ZOTERO_ITEM CSL_CITATION {"citationID":"N0BzzUQL","properties":{"formattedCitation":"[2]","plainCitation":"[2]","noteIndex":0},"citationItems":[{"id":3992,"uris":["http://zotero.org/users/1536832/items/8K4R9BII"],"uri":["http://zotero.org/users/1536832/items/8K4R9BII"],"itemData":{"id":3992,"type":"book","title":"Free Radicals in Biology and Medicine","publisher":"Oxford University Press","source":"www.oxfordscholarship.com","abstract":"The new edition of this well-established book is thoroughly revised and gives a comprehensive account of the role of free radicals, other reactive species (RS), and antioxidants in life, health, and disease. Chapter 1 reviews how oxygen (O2) is used by living organisms, why it can be toxic, and introduces the concept of oxygen radicals and other RS; their chemistry is detailed in Chapter 2, especially for superoxide, hydroxyl radical (including Fenton chemistry), peroxynitrite, nitric oxide, ozone, and singlet O2, with emphasis on their redox properties. Subsequent chapters detail what antioxidants can be made in vivo (e.g. superoxide dismutases, peroxiredoxins) and which can come from diet (e.g. vitamins E and C, carotenoids, and polyphenols such as the flavonoids) and how they work in vivo. The role of RS in cell proliferation, senescence, and death (e.g. by apoptosis, necrosis, or intermediate forms) is presented. Methods for measuring RS are described in detail, including electron paramagnetic resonance and biomarker determination. Useful roles for RS (e.g. cell signalling, phagocyte action), as well as systems in which they cause particular problems (e.g. premature babies, the eye, the ear) are presented. Acute and chronic inflammation are used to illustrate both roles There is a comprehensive description of the role of RS in human diseases, from cancer to heart disease to dementia, in the ageing process, and in the toxicity of many agents, from ethanol to carbon tetrachloride to paraquat. Therapeutic agents active against RS are reviewed in detail, including NADPH oxidase inhibitors, N-acetylcysteine, and Ebselen.","URL":"http://www.oxfordscholarship.com/view/10.1093/acprof:oso/9780198717478.001.0001/acprof-9780198717478","ISBN":"978-0-19-180213-3","language":"en_US","author":[{"family":"Halliwell","given":"Barry"},{"family":"Gutteridge","given":"John M. C."}],"issued":{"date-parts":[["2015",8,1]]},"accessed":{"date-parts":[["2018",11,13]]}}}],"schema":"https://github.com/citation-style-language/schema/raw/master/csl-citation.json"} </w:instrText>
      </w:r>
      <w:r w:rsidR="00DF7175" w:rsidRPr="00AB174F">
        <w:rPr>
          <w:sz w:val="20"/>
          <w:szCs w:val="20"/>
        </w:rPr>
        <w:fldChar w:fldCharType="separate"/>
      </w:r>
      <w:r w:rsidR="00DF7175" w:rsidRPr="00AB174F">
        <w:rPr>
          <w:sz w:val="20"/>
          <w:szCs w:val="20"/>
        </w:rPr>
        <w:t>[2]</w:t>
      </w:r>
      <w:r w:rsidR="00DF7175" w:rsidRPr="00AB174F">
        <w:rPr>
          <w:sz w:val="20"/>
          <w:szCs w:val="20"/>
        </w:rPr>
        <w:fldChar w:fldCharType="end"/>
      </w:r>
      <w:r>
        <w:rPr>
          <w:sz w:val="20"/>
          <w:szCs w:val="20"/>
        </w:rPr>
        <w:t>.</w:t>
      </w:r>
    </w:p>
    <w:p w:rsidR="00E47174" w:rsidRDefault="003E48D9" w:rsidP="00E47174">
      <w:pPr>
        <w:pStyle w:val="Default"/>
        <w:ind w:firstLine="540"/>
        <w:jc w:val="both"/>
        <w:rPr>
          <w:sz w:val="20"/>
          <w:szCs w:val="20"/>
        </w:rPr>
      </w:pPr>
      <w:r w:rsidRPr="00F9751B">
        <w:rPr>
          <w:i/>
          <w:color w:val="0070C0"/>
          <w:sz w:val="20"/>
          <w:szCs w:val="20"/>
        </w:rPr>
        <w:t xml:space="preserve">Текст тезисов (отступ 1 см, шрифт </w:t>
      </w:r>
      <w:proofErr w:type="spellStart"/>
      <w:r w:rsidRPr="00F9751B">
        <w:rPr>
          <w:i/>
          <w:color w:val="0070C0"/>
          <w:sz w:val="20"/>
          <w:szCs w:val="20"/>
        </w:rPr>
        <w:t>Times</w:t>
      </w:r>
      <w:proofErr w:type="spellEnd"/>
      <w:r w:rsidRPr="00F9751B">
        <w:rPr>
          <w:i/>
          <w:color w:val="0070C0"/>
          <w:sz w:val="20"/>
          <w:szCs w:val="20"/>
        </w:rPr>
        <w:t xml:space="preserve"> </w:t>
      </w:r>
      <w:proofErr w:type="spellStart"/>
      <w:r w:rsidRPr="00F9751B">
        <w:rPr>
          <w:i/>
          <w:color w:val="0070C0"/>
          <w:sz w:val="20"/>
          <w:szCs w:val="20"/>
        </w:rPr>
        <w:t>New</w:t>
      </w:r>
      <w:proofErr w:type="spellEnd"/>
      <w:r w:rsidRPr="00F9751B">
        <w:rPr>
          <w:i/>
          <w:color w:val="0070C0"/>
          <w:sz w:val="20"/>
          <w:szCs w:val="20"/>
        </w:rPr>
        <w:t xml:space="preserve"> </w:t>
      </w:r>
      <w:proofErr w:type="spellStart"/>
      <w:r w:rsidRPr="00F9751B">
        <w:rPr>
          <w:i/>
          <w:color w:val="0070C0"/>
          <w:sz w:val="20"/>
          <w:szCs w:val="20"/>
        </w:rPr>
        <w:t>Roman</w:t>
      </w:r>
      <w:proofErr w:type="spellEnd"/>
      <w:r w:rsidRPr="00F9751B">
        <w:rPr>
          <w:i/>
          <w:color w:val="0070C0"/>
          <w:sz w:val="20"/>
          <w:szCs w:val="20"/>
        </w:rPr>
        <w:t xml:space="preserve">, 10 </w:t>
      </w:r>
      <w:proofErr w:type="spellStart"/>
      <w:r w:rsidRPr="00F9751B">
        <w:rPr>
          <w:i/>
          <w:color w:val="0070C0"/>
          <w:sz w:val="20"/>
          <w:szCs w:val="20"/>
        </w:rPr>
        <w:t>пт</w:t>
      </w:r>
      <w:proofErr w:type="spellEnd"/>
      <w:r w:rsidRPr="00F9751B">
        <w:rPr>
          <w:i/>
          <w:color w:val="0070C0"/>
          <w:sz w:val="20"/>
          <w:szCs w:val="20"/>
        </w:rPr>
        <w:t>, межстрочный интервал 1,0. Выравнивание текста по ширине)</w:t>
      </w:r>
      <w:r w:rsidRPr="00F9751B">
        <w:rPr>
          <w:color w:val="0070C0"/>
          <w:sz w:val="20"/>
          <w:szCs w:val="20"/>
        </w:rPr>
        <w:t>.</w:t>
      </w:r>
      <w:r>
        <w:rPr>
          <w:sz w:val="20"/>
          <w:szCs w:val="20"/>
        </w:rPr>
        <w:t xml:space="preserve"> «Старение» </w:t>
      </w:r>
      <w:r w:rsidRPr="001A4DDC">
        <w:rPr>
          <w:sz w:val="20"/>
          <w:szCs w:val="20"/>
        </w:rPr>
        <w:t>митохондрий</w:t>
      </w:r>
      <w:r>
        <w:rPr>
          <w:sz w:val="20"/>
          <w:szCs w:val="20"/>
        </w:rPr>
        <w:t xml:space="preserve"> печени и митохондрий, выделенных из эпикотилей 5-дневных этиолированных проростков гороха, </w:t>
      </w:r>
      <w:r w:rsidRPr="001A4DDC">
        <w:rPr>
          <w:sz w:val="20"/>
          <w:szCs w:val="20"/>
        </w:rPr>
        <w:t>вызывал</w:t>
      </w:r>
      <w:r>
        <w:rPr>
          <w:sz w:val="20"/>
          <w:szCs w:val="20"/>
        </w:rPr>
        <w:t>о</w:t>
      </w:r>
      <w:r w:rsidRPr="001A4DDC">
        <w:rPr>
          <w:sz w:val="20"/>
          <w:szCs w:val="20"/>
        </w:rPr>
        <w:t xml:space="preserve"> слабое набухание митохондрий и рост генерации АФК, что нашло отражение в увеличении интенсивности флуоресценции продуктов ПОЛ в 3-4 раза</w:t>
      </w:r>
      <w:r>
        <w:rPr>
          <w:sz w:val="20"/>
          <w:szCs w:val="20"/>
        </w:rPr>
        <w:t xml:space="preserve">. </w:t>
      </w:r>
      <w:r w:rsidRPr="001A4DDC">
        <w:rPr>
          <w:sz w:val="20"/>
          <w:szCs w:val="20"/>
        </w:rPr>
        <w:t xml:space="preserve">Введение </w:t>
      </w:r>
      <w:r>
        <w:rPr>
          <w:sz w:val="20"/>
          <w:szCs w:val="20"/>
        </w:rPr>
        <w:t xml:space="preserve">калий </w:t>
      </w:r>
      <w:proofErr w:type="spellStart"/>
      <w:r w:rsidRPr="001A4DDC">
        <w:rPr>
          <w:sz w:val="20"/>
          <w:szCs w:val="20"/>
        </w:rPr>
        <w:t>анфена</w:t>
      </w:r>
      <w:proofErr w:type="spellEnd"/>
      <w:r w:rsidRPr="001A4DDC">
        <w:rPr>
          <w:sz w:val="20"/>
          <w:szCs w:val="20"/>
        </w:rPr>
        <w:t xml:space="preserve"> в среду инкубации снижало интенсивность флуоресценции продуктов ПОЛ</w:t>
      </w:r>
      <w:r>
        <w:rPr>
          <w:sz w:val="20"/>
          <w:szCs w:val="20"/>
        </w:rPr>
        <w:t xml:space="preserve"> в мембранах митохондрий печени и митохондрий проростков гороха</w:t>
      </w:r>
      <w:r w:rsidRPr="001A4DDC">
        <w:t xml:space="preserve"> </w:t>
      </w:r>
      <w:r w:rsidRPr="001A4DDC">
        <w:rPr>
          <w:sz w:val="20"/>
          <w:szCs w:val="20"/>
        </w:rPr>
        <w:t>и носило дозовую зависимость. Препарат в концентрациях 10</w:t>
      </w:r>
      <w:r w:rsidRPr="001A4DDC">
        <w:rPr>
          <w:sz w:val="20"/>
          <w:szCs w:val="20"/>
          <w:vertAlign w:val="superscript"/>
        </w:rPr>
        <w:t>-5</w:t>
      </w:r>
      <w:r w:rsidRPr="001A4DDC">
        <w:rPr>
          <w:sz w:val="20"/>
          <w:szCs w:val="20"/>
        </w:rPr>
        <w:t>- 10</w:t>
      </w:r>
      <w:r w:rsidRPr="001A4DDC">
        <w:rPr>
          <w:sz w:val="20"/>
          <w:szCs w:val="20"/>
          <w:vertAlign w:val="superscript"/>
        </w:rPr>
        <w:t>-8</w:t>
      </w:r>
      <w:r w:rsidRPr="001A4DDC">
        <w:rPr>
          <w:sz w:val="20"/>
          <w:szCs w:val="20"/>
        </w:rPr>
        <w:t>, 10</w:t>
      </w:r>
      <w:r w:rsidRPr="001A4DDC">
        <w:rPr>
          <w:sz w:val="20"/>
          <w:szCs w:val="20"/>
          <w:vertAlign w:val="superscript"/>
        </w:rPr>
        <w:t>-13</w:t>
      </w:r>
      <w:r w:rsidRPr="001A4DDC">
        <w:rPr>
          <w:sz w:val="20"/>
          <w:szCs w:val="20"/>
        </w:rPr>
        <w:t>-</w:t>
      </w:r>
      <w:r>
        <w:rPr>
          <w:sz w:val="20"/>
          <w:szCs w:val="20"/>
        </w:rPr>
        <w:t xml:space="preserve"> </w:t>
      </w:r>
      <w:r w:rsidRPr="001A4DDC">
        <w:rPr>
          <w:sz w:val="20"/>
          <w:szCs w:val="20"/>
        </w:rPr>
        <w:t>10</w:t>
      </w:r>
      <w:r w:rsidRPr="001A4DDC">
        <w:rPr>
          <w:sz w:val="20"/>
          <w:szCs w:val="20"/>
          <w:vertAlign w:val="superscript"/>
        </w:rPr>
        <w:t>-16</w:t>
      </w:r>
      <w:r w:rsidRPr="001A4DDC">
        <w:rPr>
          <w:sz w:val="20"/>
          <w:szCs w:val="20"/>
        </w:rPr>
        <w:t>М снижал интенсивность флуоресценции продуктов ПОЛ до контрольного уровня</w:t>
      </w:r>
      <w:r>
        <w:rPr>
          <w:sz w:val="20"/>
          <w:szCs w:val="20"/>
        </w:rPr>
        <w:t xml:space="preserve"> </w:t>
      </w:r>
      <w:r w:rsidR="00DF7175" w:rsidRPr="00AB174F">
        <w:rPr>
          <w:sz w:val="20"/>
          <w:szCs w:val="20"/>
        </w:rPr>
        <w:fldChar w:fldCharType="begin"/>
      </w:r>
      <w:r w:rsidR="00DF7175" w:rsidRPr="00AB174F">
        <w:rPr>
          <w:sz w:val="20"/>
          <w:szCs w:val="20"/>
        </w:rPr>
        <w:instrText xml:space="preserve"> ADDIN ZOTERO_ITEM CSL_CITATION {"citationID":"rjmsNKLx","properties":{"formattedCitation":"[3]","plainCitation":"[3]","noteIndex":0},"citationItems":[{"id":2717,"uris":["http://zotero.org/users/1536832/items/GHK6VJM2"],"uri":["http://zotero.org/users/1536832/items/GHK6VJM2"],"itemData":{"id":2717,"type":"article-journal","title":"Basal Glutathionylation of Na,K-ATPase α-Subunit Depends on Redox Status of Cells during the Enzyme Biosynthesis","container-title":"Oxidative Medicine and Cellular Longevity","volume":"2016","source":"PubMed Central","abstract":"Many viruses induce oxidative stress and cause S-glutathionylation of Cys residues of the host and viral proteins. Changes in cell functioning during viral infection may be associated with glutathionylation of a number of key proteins including Na,K-ATPase which creates a gradient of sodium and potassium ions. It was found that Na,K-ATPase α-subunit has a basal glutathionylation which is not abrogated by reducing agent. We have shown that acute hypoxia leads to increase of total glutathionylation level of Na,K-ATPase α-subunit; however, basal glutathionylation of α-subunit increases under prolonged hypoxia only. The role of basal glutathionylation in Na,K-ATPase function remains unclear. Understanding significance of basal glutathionylation is complicated by the fact that there are no X-ray structures of Na,K-ATPase with the identified glutathione molecules. We have analyzed all X-ray structures of the Na,K-ATPase α-subunit from pig kidney and found that there are a number of isolated cavities with unresolved electron density close to the relevant cysteine residues. Analysis of the structures showed that this unresolved density in the structure can be occupied by glutathione associated with cysteine residues. Here, we discuss the role of basal glutathionylation of Na,K-ATPase α-subunit and provide evidence supporting the view that this modification is cotranslational.","URL":"https://www.ncbi.nlm.nih.gov/pmc/articles/PMC4863110/","DOI":"10.1155/2016/9092328","ISSN":"1942-0900","note":"PMID: 27239254\nPMCID: PMC4863110","journalAbbreviation":"Oxid Med Cell Longev","author":[{"family":"Mitkevich","given":"Vladimir A."},{"family":"Petrushanko","given":"Irina Yu."},{"family":"Poluektov","given":"Yuri M."},{"family":"Burnysheva","given":"Ksenia M."},{"family":"Lakunina","given":"Valentina A."},{"family":"Anashkina","given":"Anastasia A."},{"family":"Makarov","given":"Alexander A."}],"issued":{"date-parts":[["2016"]]}}}],"schema":"https://github.com/citation-style-language/schema/raw/master/csl-citation.json"} </w:instrText>
      </w:r>
      <w:r w:rsidR="00DF7175" w:rsidRPr="00AB174F">
        <w:rPr>
          <w:sz w:val="20"/>
          <w:szCs w:val="20"/>
        </w:rPr>
        <w:fldChar w:fldCharType="separate"/>
      </w:r>
      <w:r w:rsidR="00DF7175" w:rsidRPr="00AB174F">
        <w:rPr>
          <w:sz w:val="20"/>
          <w:szCs w:val="20"/>
        </w:rPr>
        <w:t>[3]</w:t>
      </w:r>
      <w:r w:rsidR="00DF7175" w:rsidRPr="00AB174F">
        <w:rPr>
          <w:sz w:val="20"/>
          <w:szCs w:val="20"/>
        </w:rPr>
        <w:fldChar w:fldCharType="end"/>
      </w:r>
      <w:r>
        <w:rPr>
          <w:sz w:val="20"/>
          <w:szCs w:val="20"/>
        </w:rPr>
        <w:t>.</w:t>
      </w:r>
    </w:p>
    <w:p w:rsidR="003E48D9" w:rsidRPr="00D30FD8" w:rsidRDefault="003E48D9" w:rsidP="003E48D9">
      <w:pPr>
        <w:ind w:firstLine="540"/>
        <w:jc w:val="both"/>
        <w:rPr>
          <w:sz w:val="20"/>
          <w:szCs w:val="20"/>
          <w:lang w:val="ru-RU"/>
        </w:rPr>
      </w:pPr>
      <w:r w:rsidRPr="00D30FD8">
        <w:rPr>
          <w:i/>
          <w:color w:val="0070C0"/>
          <w:sz w:val="20"/>
          <w:szCs w:val="20"/>
          <w:lang w:val="ru-RU"/>
        </w:rPr>
        <w:t xml:space="preserve">Текст тезисов (отступ 1 см, шрифт </w:t>
      </w:r>
      <w:r w:rsidRPr="00F9751B">
        <w:rPr>
          <w:i/>
          <w:color w:val="0070C0"/>
          <w:sz w:val="20"/>
          <w:szCs w:val="20"/>
        </w:rPr>
        <w:t>Times</w:t>
      </w:r>
      <w:r w:rsidRPr="00D30FD8">
        <w:rPr>
          <w:i/>
          <w:color w:val="0070C0"/>
          <w:sz w:val="20"/>
          <w:szCs w:val="20"/>
          <w:lang w:val="ru-RU"/>
        </w:rPr>
        <w:t xml:space="preserve"> </w:t>
      </w:r>
      <w:r w:rsidRPr="00F9751B">
        <w:rPr>
          <w:i/>
          <w:color w:val="0070C0"/>
          <w:sz w:val="20"/>
          <w:szCs w:val="20"/>
        </w:rPr>
        <w:t>New</w:t>
      </w:r>
      <w:r w:rsidRPr="00D30FD8">
        <w:rPr>
          <w:i/>
          <w:color w:val="0070C0"/>
          <w:sz w:val="20"/>
          <w:szCs w:val="20"/>
          <w:lang w:val="ru-RU"/>
        </w:rPr>
        <w:t xml:space="preserve"> </w:t>
      </w:r>
      <w:r w:rsidRPr="00F9751B">
        <w:rPr>
          <w:i/>
          <w:color w:val="0070C0"/>
          <w:sz w:val="20"/>
          <w:szCs w:val="20"/>
        </w:rPr>
        <w:t>Roman</w:t>
      </w:r>
      <w:r w:rsidRPr="00D30FD8">
        <w:rPr>
          <w:i/>
          <w:color w:val="0070C0"/>
          <w:sz w:val="20"/>
          <w:szCs w:val="20"/>
          <w:lang w:val="ru-RU"/>
        </w:rPr>
        <w:t xml:space="preserve">, 10 </w:t>
      </w:r>
      <w:proofErr w:type="spellStart"/>
      <w:r w:rsidRPr="00D30FD8">
        <w:rPr>
          <w:i/>
          <w:color w:val="0070C0"/>
          <w:sz w:val="20"/>
          <w:szCs w:val="20"/>
          <w:lang w:val="ru-RU"/>
        </w:rPr>
        <w:t>пт</w:t>
      </w:r>
      <w:proofErr w:type="spellEnd"/>
      <w:r w:rsidRPr="00D30FD8">
        <w:rPr>
          <w:i/>
          <w:color w:val="0070C0"/>
          <w:sz w:val="20"/>
          <w:szCs w:val="20"/>
          <w:lang w:val="ru-RU"/>
        </w:rPr>
        <w:t xml:space="preserve">, межстрочный интервал 1,0. </w:t>
      </w:r>
      <w:r w:rsidRPr="00F9751B">
        <w:rPr>
          <w:i/>
          <w:color w:val="0070C0"/>
          <w:sz w:val="20"/>
          <w:szCs w:val="20"/>
          <w:lang w:val="ru-RU"/>
        </w:rPr>
        <w:t>Выравнивание текста по ширине)</w:t>
      </w:r>
      <w:r w:rsidRPr="00F9751B">
        <w:rPr>
          <w:color w:val="0070C0"/>
          <w:sz w:val="20"/>
          <w:szCs w:val="20"/>
          <w:lang w:val="ru-RU"/>
        </w:rPr>
        <w:t xml:space="preserve">. </w:t>
      </w:r>
      <w:r w:rsidRPr="003E48D9">
        <w:rPr>
          <w:sz w:val="20"/>
          <w:szCs w:val="20"/>
          <w:lang w:val="ru-RU"/>
        </w:rPr>
        <w:t xml:space="preserve">В работе исследована роль </w:t>
      </w:r>
      <w:proofErr w:type="spellStart"/>
      <w:r w:rsidRPr="003E48D9">
        <w:rPr>
          <w:sz w:val="20"/>
          <w:szCs w:val="20"/>
          <w:lang w:val="ru-RU"/>
        </w:rPr>
        <w:t>тетрапептидного</w:t>
      </w:r>
      <w:proofErr w:type="spellEnd"/>
      <w:r w:rsidRPr="003E48D9">
        <w:rPr>
          <w:sz w:val="20"/>
          <w:szCs w:val="20"/>
          <w:lang w:val="ru-RU"/>
        </w:rPr>
        <w:t xml:space="preserve"> фрагмента гистона Н3 в регуляции адгезивного ответа </w:t>
      </w:r>
      <w:proofErr w:type="spellStart"/>
      <w:r w:rsidRPr="003E48D9">
        <w:rPr>
          <w:sz w:val="20"/>
          <w:szCs w:val="20"/>
          <w:lang w:val="ru-RU"/>
        </w:rPr>
        <w:t>эпителиоподобных</w:t>
      </w:r>
      <w:proofErr w:type="spellEnd"/>
      <w:r w:rsidRPr="003E48D9">
        <w:rPr>
          <w:sz w:val="20"/>
          <w:szCs w:val="20"/>
          <w:lang w:val="ru-RU"/>
        </w:rPr>
        <w:t xml:space="preserve"> клеток линии СНО-К1. В зависимости от цели эксперимента клетки рассевали либо в 96-луночные планшеты, либо в чашки Петри, обработанные или не обработанные желатином. Пептид добавляли в клеточную суспензию в концентрации 10</w:t>
      </w:r>
      <w:r w:rsidRPr="003E48D9">
        <w:rPr>
          <w:sz w:val="20"/>
          <w:szCs w:val="20"/>
          <w:vertAlign w:val="superscript"/>
          <w:lang w:val="ru-RU"/>
        </w:rPr>
        <w:t>-10</w:t>
      </w:r>
      <w:r w:rsidRPr="003E48D9">
        <w:rPr>
          <w:sz w:val="20"/>
          <w:szCs w:val="20"/>
          <w:lang w:val="ru-RU"/>
        </w:rPr>
        <w:t xml:space="preserve"> ─ 10</w:t>
      </w:r>
      <w:r w:rsidRPr="003E48D9">
        <w:rPr>
          <w:sz w:val="20"/>
          <w:szCs w:val="20"/>
          <w:vertAlign w:val="superscript"/>
          <w:lang w:val="ru-RU"/>
        </w:rPr>
        <w:t>-6</w:t>
      </w:r>
      <w:r w:rsidRPr="003E48D9">
        <w:rPr>
          <w:sz w:val="20"/>
          <w:szCs w:val="20"/>
          <w:lang w:val="ru-RU"/>
        </w:rPr>
        <w:t xml:space="preserve"> М. Клетки (10</w:t>
      </w:r>
      <w:r w:rsidRPr="003E48D9">
        <w:rPr>
          <w:sz w:val="20"/>
          <w:szCs w:val="20"/>
          <w:vertAlign w:val="superscript"/>
          <w:lang w:val="ru-RU"/>
        </w:rPr>
        <w:t>6</w:t>
      </w:r>
      <w:r w:rsidRPr="003E48D9">
        <w:rPr>
          <w:sz w:val="20"/>
          <w:szCs w:val="20"/>
          <w:lang w:val="ru-RU"/>
        </w:rPr>
        <w:t xml:space="preserve"> </w:t>
      </w:r>
      <w:proofErr w:type="spellStart"/>
      <w:proofErr w:type="gramStart"/>
      <w:r w:rsidRPr="003E48D9">
        <w:rPr>
          <w:sz w:val="20"/>
          <w:szCs w:val="20"/>
          <w:lang w:val="ru-RU"/>
        </w:rPr>
        <w:t>кл</w:t>
      </w:r>
      <w:proofErr w:type="spellEnd"/>
      <w:r w:rsidRPr="003E48D9">
        <w:rPr>
          <w:sz w:val="20"/>
          <w:szCs w:val="20"/>
          <w:lang w:val="ru-RU"/>
        </w:rPr>
        <w:t>./</w:t>
      </w:r>
      <w:proofErr w:type="gramEnd"/>
      <w:r w:rsidRPr="003E48D9">
        <w:rPr>
          <w:sz w:val="20"/>
          <w:szCs w:val="20"/>
          <w:lang w:val="ru-RU"/>
        </w:rPr>
        <w:t>мл или 2∙10</w:t>
      </w:r>
      <w:r w:rsidRPr="003E48D9">
        <w:rPr>
          <w:sz w:val="20"/>
          <w:szCs w:val="20"/>
          <w:vertAlign w:val="superscript"/>
          <w:lang w:val="ru-RU"/>
        </w:rPr>
        <w:t>5</w:t>
      </w:r>
      <w:r w:rsidRPr="003E48D9">
        <w:rPr>
          <w:sz w:val="20"/>
          <w:szCs w:val="20"/>
          <w:lang w:val="ru-RU"/>
        </w:rPr>
        <w:t xml:space="preserve"> </w:t>
      </w:r>
      <w:proofErr w:type="spellStart"/>
      <w:r w:rsidRPr="003E48D9">
        <w:rPr>
          <w:sz w:val="20"/>
          <w:szCs w:val="20"/>
          <w:lang w:val="ru-RU"/>
        </w:rPr>
        <w:t>кл</w:t>
      </w:r>
      <w:proofErr w:type="spellEnd"/>
      <w:r w:rsidRPr="003E48D9">
        <w:rPr>
          <w:sz w:val="20"/>
          <w:szCs w:val="20"/>
          <w:lang w:val="ru-RU"/>
        </w:rPr>
        <w:t>./мл) выдерживали 1 ч в СО</w:t>
      </w:r>
      <w:r w:rsidRPr="003E48D9">
        <w:rPr>
          <w:sz w:val="20"/>
          <w:szCs w:val="20"/>
          <w:vertAlign w:val="subscript"/>
          <w:lang w:val="ru-RU"/>
        </w:rPr>
        <w:t>2</w:t>
      </w:r>
      <w:r w:rsidRPr="003E48D9">
        <w:rPr>
          <w:sz w:val="20"/>
          <w:szCs w:val="20"/>
          <w:lang w:val="ru-RU"/>
        </w:rPr>
        <w:t xml:space="preserve">-инкубаторе при 37º С. Определяли количество прикрепившихся клеток по окраске кристаллическим фиолетовым и долю клеток с распластанным </w:t>
      </w:r>
      <w:proofErr w:type="spellStart"/>
      <w:r w:rsidRPr="003E48D9">
        <w:rPr>
          <w:sz w:val="20"/>
          <w:szCs w:val="20"/>
          <w:lang w:val="ru-RU"/>
        </w:rPr>
        <w:t>морфотипом</w:t>
      </w:r>
      <w:proofErr w:type="spellEnd"/>
      <w:r w:rsidRPr="003E48D9">
        <w:rPr>
          <w:sz w:val="20"/>
          <w:szCs w:val="20"/>
          <w:lang w:val="ru-RU"/>
        </w:rPr>
        <w:t xml:space="preserve"> с помощью фазово-контрастной микроскопии. </w:t>
      </w:r>
      <w:r w:rsidRPr="00D30FD8">
        <w:rPr>
          <w:sz w:val="20"/>
          <w:szCs w:val="20"/>
          <w:lang w:val="ru-RU"/>
        </w:rPr>
        <w:t xml:space="preserve">Измерение площади клеток проводили с помощью программы </w:t>
      </w:r>
      <w:r w:rsidRPr="006D63AD">
        <w:rPr>
          <w:sz w:val="20"/>
          <w:szCs w:val="20"/>
          <w:lang w:val="en-US"/>
        </w:rPr>
        <w:t>Image</w:t>
      </w:r>
      <w:r w:rsidRPr="00D30FD8">
        <w:rPr>
          <w:sz w:val="20"/>
          <w:szCs w:val="20"/>
          <w:lang w:val="ru-RU"/>
        </w:rPr>
        <w:t xml:space="preserve"> </w:t>
      </w:r>
      <w:r w:rsidRPr="006D63AD">
        <w:rPr>
          <w:sz w:val="20"/>
          <w:szCs w:val="20"/>
          <w:lang w:val="en-US"/>
        </w:rPr>
        <w:t>J</w:t>
      </w:r>
      <w:r w:rsidRPr="00D30FD8">
        <w:rPr>
          <w:sz w:val="20"/>
          <w:szCs w:val="20"/>
          <w:lang w:val="ru-RU"/>
        </w:rPr>
        <w:t>.</w:t>
      </w:r>
    </w:p>
    <w:p w:rsidR="004513FA" w:rsidRPr="003E48D9" w:rsidRDefault="003E48D9" w:rsidP="007403ED">
      <w:pPr>
        <w:pStyle w:val="Default"/>
        <w:ind w:firstLine="540"/>
        <w:jc w:val="both"/>
        <w:rPr>
          <w:color w:val="0070C0"/>
          <w:sz w:val="20"/>
          <w:szCs w:val="20"/>
        </w:rPr>
      </w:pPr>
      <w:r w:rsidRPr="00F9751B">
        <w:rPr>
          <w:i/>
          <w:color w:val="0070C0"/>
          <w:sz w:val="20"/>
          <w:szCs w:val="20"/>
        </w:rPr>
        <w:t xml:space="preserve">Текст тезисов (отступ 1 см, шрифт </w:t>
      </w:r>
      <w:proofErr w:type="spellStart"/>
      <w:r w:rsidRPr="00F9751B">
        <w:rPr>
          <w:i/>
          <w:color w:val="0070C0"/>
          <w:sz w:val="20"/>
          <w:szCs w:val="20"/>
        </w:rPr>
        <w:t>Times</w:t>
      </w:r>
      <w:proofErr w:type="spellEnd"/>
      <w:r w:rsidRPr="00F9751B">
        <w:rPr>
          <w:i/>
          <w:color w:val="0070C0"/>
          <w:sz w:val="20"/>
          <w:szCs w:val="20"/>
        </w:rPr>
        <w:t xml:space="preserve"> </w:t>
      </w:r>
      <w:proofErr w:type="spellStart"/>
      <w:r w:rsidRPr="00F9751B">
        <w:rPr>
          <w:i/>
          <w:color w:val="0070C0"/>
          <w:sz w:val="20"/>
          <w:szCs w:val="20"/>
        </w:rPr>
        <w:t>New</w:t>
      </w:r>
      <w:proofErr w:type="spellEnd"/>
      <w:r w:rsidRPr="00F9751B">
        <w:rPr>
          <w:i/>
          <w:color w:val="0070C0"/>
          <w:sz w:val="20"/>
          <w:szCs w:val="20"/>
        </w:rPr>
        <w:t xml:space="preserve"> </w:t>
      </w:r>
      <w:proofErr w:type="spellStart"/>
      <w:r w:rsidRPr="00F9751B">
        <w:rPr>
          <w:i/>
          <w:color w:val="0070C0"/>
          <w:sz w:val="20"/>
          <w:szCs w:val="20"/>
        </w:rPr>
        <w:t>Roman</w:t>
      </w:r>
      <w:proofErr w:type="spellEnd"/>
      <w:r w:rsidRPr="00F9751B">
        <w:rPr>
          <w:i/>
          <w:color w:val="0070C0"/>
          <w:sz w:val="20"/>
          <w:szCs w:val="20"/>
        </w:rPr>
        <w:t xml:space="preserve">, 10 </w:t>
      </w:r>
      <w:proofErr w:type="spellStart"/>
      <w:r w:rsidRPr="00F9751B">
        <w:rPr>
          <w:i/>
          <w:color w:val="0070C0"/>
          <w:sz w:val="20"/>
          <w:szCs w:val="20"/>
        </w:rPr>
        <w:t>пт</w:t>
      </w:r>
      <w:proofErr w:type="spellEnd"/>
      <w:r w:rsidRPr="00F9751B">
        <w:rPr>
          <w:i/>
          <w:color w:val="0070C0"/>
          <w:sz w:val="20"/>
          <w:szCs w:val="20"/>
        </w:rPr>
        <w:t>, межстрочный интервал 1,0. Выравнивание текста по ширине)</w:t>
      </w:r>
      <w:r w:rsidRPr="00F9751B">
        <w:rPr>
          <w:color w:val="0070C0"/>
          <w:sz w:val="20"/>
          <w:szCs w:val="20"/>
        </w:rPr>
        <w:t>.</w:t>
      </w:r>
      <w:r>
        <w:rPr>
          <w:sz w:val="20"/>
          <w:szCs w:val="20"/>
        </w:rPr>
        <w:t xml:space="preserve"> </w:t>
      </w:r>
      <w:r w:rsidR="004513FA" w:rsidRPr="00F9751B">
        <w:rPr>
          <w:color w:val="70AD47" w:themeColor="accent6"/>
          <w:sz w:val="20"/>
          <w:szCs w:val="20"/>
        </w:rPr>
        <w:t>Благодарности, ссылки на гранты.</w:t>
      </w:r>
    </w:p>
    <w:p w:rsidR="00E47174" w:rsidRPr="00AB174F" w:rsidRDefault="007403ED" w:rsidP="00E47174">
      <w:pPr>
        <w:pStyle w:val="Default"/>
        <w:jc w:val="both"/>
        <w:rPr>
          <w:i/>
          <w:color w:val="FF0000"/>
          <w:sz w:val="20"/>
          <w:szCs w:val="20"/>
        </w:rPr>
      </w:pPr>
      <w:r w:rsidRPr="00AB174F">
        <w:rPr>
          <w:i/>
          <w:color w:val="FF0000"/>
          <w:sz w:val="20"/>
          <w:szCs w:val="20"/>
        </w:rPr>
        <w:t>(пустая строка перед списком литературы)</w:t>
      </w:r>
    </w:p>
    <w:p w:rsidR="00DF7175" w:rsidRPr="00AB174F" w:rsidRDefault="00DF7175" w:rsidP="00DF7175">
      <w:pPr>
        <w:pStyle w:val="1"/>
        <w:rPr>
          <w:sz w:val="20"/>
          <w:szCs w:val="20"/>
          <w:lang w:val="en-US"/>
        </w:rPr>
      </w:pPr>
      <w:r w:rsidRPr="00AB174F">
        <w:rPr>
          <w:sz w:val="20"/>
          <w:szCs w:val="20"/>
        </w:rPr>
        <w:fldChar w:fldCharType="begin"/>
      </w:r>
      <w:r w:rsidRPr="00AB174F">
        <w:rPr>
          <w:sz w:val="20"/>
          <w:szCs w:val="20"/>
          <w:lang w:val="en-US"/>
        </w:rPr>
        <w:instrText xml:space="preserve"> ADDIN ZOTERO_BIBL {"uncited":[],"omitted":[],"custom":[]} CSL_BIBLIOGRAPHY </w:instrText>
      </w:r>
      <w:r w:rsidRPr="00AB174F">
        <w:rPr>
          <w:sz w:val="20"/>
          <w:szCs w:val="20"/>
        </w:rPr>
        <w:fldChar w:fldCharType="separate"/>
      </w:r>
      <w:r w:rsidRPr="00AB174F">
        <w:rPr>
          <w:sz w:val="20"/>
          <w:szCs w:val="20"/>
          <w:lang w:val="en-US"/>
        </w:rPr>
        <w:t>1.</w:t>
      </w:r>
      <w:r w:rsidRPr="00AB174F">
        <w:rPr>
          <w:sz w:val="20"/>
          <w:szCs w:val="20"/>
          <w:lang w:val="en-US"/>
        </w:rPr>
        <w:tab/>
        <w:t>Yang K. et al. A redox mechanism underlying nucleolar stress sensing by nucleophosmin // Nat Commun. 2016. Vol. 7. P. 13599.</w:t>
      </w:r>
    </w:p>
    <w:p w:rsidR="00DF7175" w:rsidRPr="00AB174F" w:rsidRDefault="00DF7175" w:rsidP="00DF7175">
      <w:pPr>
        <w:pStyle w:val="1"/>
        <w:rPr>
          <w:sz w:val="20"/>
          <w:szCs w:val="20"/>
          <w:lang w:val="en-US"/>
        </w:rPr>
      </w:pPr>
      <w:r w:rsidRPr="00AB174F">
        <w:rPr>
          <w:sz w:val="20"/>
          <w:szCs w:val="20"/>
          <w:lang w:val="en-US"/>
        </w:rPr>
        <w:t>2.</w:t>
      </w:r>
      <w:r w:rsidRPr="00AB174F">
        <w:rPr>
          <w:sz w:val="20"/>
          <w:szCs w:val="20"/>
          <w:lang w:val="en-US"/>
        </w:rPr>
        <w:tab/>
        <w:t>Halliwell B., Gutteridge J.M.C. Free Radicals in Biology and Medicine. Oxford University Press, 2015.</w:t>
      </w:r>
    </w:p>
    <w:p w:rsidR="008F39E7" w:rsidRPr="00AB174F" w:rsidRDefault="00DF7175" w:rsidP="003E48D9">
      <w:pPr>
        <w:pStyle w:val="1"/>
        <w:rPr>
          <w:sz w:val="20"/>
          <w:szCs w:val="20"/>
        </w:rPr>
      </w:pPr>
      <w:r w:rsidRPr="00AB174F">
        <w:rPr>
          <w:sz w:val="20"/>
          <w:szCs w:val="20"/>
          <w:lang w:val="en-US"/>
        </w:rPr>
        <w:t>3.</w:t>
      </w:r>
      <w:r w:rsidRPr="00AB174F">
        <w:rPr>
          <w:sz w:val="20"/>
          <w:szCs w:val="20"/>
          <w:lang w:val="en-US"/>
        </w:rPr>
        <w:tab/>
        <w:t xml:space="preserve">Mitkevich V.A. et al. Basal Glutathionylation of Na,K-ATPase </w:t>
      </w:r>
      <w:r w:rsidRPr="00AB174F">
        <w:rPr>
          <w:sz w:val="20"/>
          <w:szCs w:val="20"/>
        </w:rPr>
        <w:t>α</w:t>
      </w:r>
      <w:r w:rsidRPr="00AB174F">
        <w:rPr>
          <w:sz w:val="20"/>
          <w:szCs w:val="20"/>
          <w:lang w:val="en-US"/>
        </w:rPr>
        <w:t xml:space="preserve">-Subunit Depends on Redox Status of Cells during the Enzyme Biosynthesis // Oxid Med Cell Longev. </w:t>
      </w:r>
      <w:r w:rsidRPr="00AB174F">
        <w:rPr>
          <w:sz w:val="20"/>
          <w:szCs w:val="20"/>
        </w:rPr>
        <w:t>2016. Vol. 2016.</w:t>
      </w:r>
      <w:r w:rsidRPr="00AB174F">
        <w:rPr>
          <w:sz w:val="20"/>
          <w:szCs w:val="20"/>
        </w:rPr>
        <w:fldChar w:fldCharType="end"/>
      </w:r>
    </w:p>
    <w:sectPr w:rsidR="008F39E7" w:rsidRPr="00AB174F" w:rsidSect="003E48D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1A"/>
    <w:rsid w:val="00013DEF"/>
    <w:rsid w:val="000376F0"/>
    <w:rsid w:val="00063C3C"/>
    <w:rsid w:val="00075997"/>
    <w:rsid w:val="000817D2"/>
    <w:rsid w:val="00085562"/>
    <w:rsid w:val="000A6311"/>
    <w:rsid w:val="000B1696"/>
    <w:rsid w:val="000B5671"/>
    <w:rsid w:val="000B77F9"/>
    <w:rsid w:val="000E316B"/>
    <w:rsid w:val="00116888"/>
    <w:rsid w:val="00152D80"/>
    <w:rsid w:val="00156A69"/>
    <w:rsid w:val="00184C05"/>
    <w:rsid w:val="001A7CC5"/>
    <w:rsid w:val="001C7A04"/>
    <w:rsid w:val="001F2C2B"/>
    <w:rsid w:val="001F2EB6"/>
    <w:rsid w:val="00215C3F"/>
    <w:rsid w:val="00216A6C"/>
    <w:rsid w:val="002452F8"/>
    <w:rsid w:val="00251BB2"/>
    <w:rsid w:val="00271B11"/>
    <w:rsid w:val="00277459"/>
    <w:rsid w:val="0028310F"/>
    <w:rsid w:val="002B3323"/>
    <w:rsid w:val="002C6012"/>
    <w:rsid w:val="002D0770"/>
    <w:rsid w:val="002D5889"/>
    <w:rsid w:val="002E0517"/>
    <w:rsid w:val="002E5121"/>
    <w:rsid w:val="002F121A"/>
    <w:rsid w:val="00306834"/>
    <w:rsid w:val="00310FDE"/>
    <w:rsid w:val="00317857"/>
    <w:rsid w:val="00330E3F"/>
    <w:rsid w:val="0033253A"/>
    <w:rsid w:val="0034267E"/>
    <w:rsid w:val="003D249D"/>
    <w:rsid w:val="003E48D9"/>
    <w:rsid w:val="004039F8"/>
    <w:rsid w:val="00414DCE"/>
    <w:rsid w:val="004513FA"/>
    <w:rsid w:val="00482F12"/>
    <w:rsid w:val="004C569F"/>
    <w:rsid w:val="004E3AD4"/>
    <w:rsid w:val="004F2906"/>
    <w:rsid w:val="004F4635"/>
    <w:rsid w:val="00520EB8"/>
    <w:rsid w:val="00530024"/>
    <w:rsid w:val="0054716C"/>
    <w:rsid w:val="00552E49"/>
    <w:rsid w:val="00572452"/>
    <w:rsid w:val="00575085"/>
    <w:rsid w:val="00581E05"/>
    <w:rsid w:val="00587885"/>
    <w:rsid w:val="00592E69"/>
    <w:rsid w:val="005B4EFB"/>
    <w:rsid w:val="005D1A54"/>
    <w:rsid w:val="005E09DA"/>
    <w:rsid w:val="005E0F96"/>
    <w:rsid w:val="005F52E3"/>
    <w:rsid w:val="0060578A"/>
    <w:rsid w:val="00610AE4"/>
    <w:rsid w:val="0064787F"/>
    <w:rsid w:val="006706DF"/>
    <w:rsid w:val="00675ECE"/>
    <w:rsid w:val="00685848"/>
    <w:rsid w:val="00692290"/>
    <w:rsid w:val="006C6AED"/>
    <w:rsid w:val="006D10A0"/>
    <w:rsid w:val="006D450E"/>
    <w:rsid w:val="006E5018"/>
    <w:rsid w:val="006E5676"/>
    <w:rsid w:val="006E6D61"/>
    <w:rsid w:val="006F6CE0"/>
    <w:rsid w:val="00701425"/>
    <w:rsid w:val="00727DF2"/>
    <w:rsid w:val="007403ED"/>
    <w:rsid w:val="007419D0"/>
    <w:rsid w:val="00777125"/>
    <w:rsid w:val="007932DE"/>
    <w:rsid w:val="007A70AE"/>
    <w:rsid w:val="007C7916"/>
    <w:rsid w:val="007D3050"/>
    <w:rsid w:val="007E5E38"/>
    <w:rsid w:val="007E650F"/>
    <w:rsid w:val="00801971"/>
    <w:rsid w:val="00802800"/>
    <w:rsid w:val="0081149B"/>
    <w:rsid w:val="00814D54"/>
    <w:rsid w:val="008244B1"/>
    <w:rsid w:val="00843548"/>
    <w:rsid w:val="00847F55"/>
    <w:rsid w:val="00852DAA"/>
    <w:rsid w:val="0087339A"/>
    <w:rsid w:val="00882938"/>
    <w:rsid w:val="008964E2"/>
    <w:rsid w:val="00896CDB"/>
    <w:rsid w:val="008E1B23"/>
    <w:rsid w:val="008F0419"/>
    <w:rsid w:val="008F39E7"/>
    <w:rsid w:val="008F70A4"/>
    <w:rsid w:val="00937C02"/>
    <w:rsid w:val="00942318"/>
    <w:rsid w:val="009447D0"/>
    <w:rsid w:val="00970FCF"/>
    <w:rsid w:val="009A54E4"/>
    <w:rsid w:val="009C19AE"/>
    <w:rsid w:val="009C3FB0"/>
    <w:rsid w:val="009D2B65"/>
    <w:rsid w:val="009E265B"/>
    <w:rsid w:val="009E5857"/>
    <w:rsid w:val="00A167E3"/>
    <w:rsid w:val="00A3128C"/>
    <w:rsid w:val="00AA6AD3"/>
    <w:rsid w:val="00AA769E"/>
    <w:rsid w:val="00AB174F"/>
    <w:rsid w:val="00B03ED8"/>
    <w:rsid w:val="00B14186"/>
    <w:rsid w:val="00B171D4"/>
    <w:rsid w:val="00B17B59"/>
    <w:rsid w:val="00B231D5"/>
    <w:rsid w:val="00B24517"/>
    <w:rsid w:val="00B347E5"/>
    <w:rsid w:val="00B51447"/>
    <w:rsid w:val="00B936A5"/>
    <w:rsid w:val="00BA5C66"/>
    <w:rsid w:val="00BB2B0B"/>
    <w:rsid w:val="00BB3643"/>
    <w:rsid w:val="00BF045D"/>
    <w:rsid w:val="00C0496C"/>
    <w:rsid w:val="00C574C7"/>
    <w:rsid w:val="00C7042B"/>
    <w:rsid w:val="00C72BA5"/>
    <w:rsid w:val="00C92578"/>
    <w:rsid w:val="00CA591D"/>
    <w:rsid w:val="00CA7813"/>
    <w:rsid w:val="00CF4DDB"/>
    <w:rsid w:val="00D22973"/>
    <w:rsid w:val="00D22E08"/>
    <w:rsid w:val="00D30FD8"/>
    <w:rsid w:val="00D34385"/>
    <w:rsid w:val="00D537C6"/>
    <w:rsid w:val="00D64C7C"/>
    <w:rsid w:val="00D81BA6"/>
    <w:rsid w:val="00D876FA"/>
    <w:rsid w:val="00D96E15"/>
    <w:rsid w:val="00DB4DCE"/>
    <w:rsid w:val="00DB5413"/>
    <w:rsid w:val="00DB65AC"/>
    <w:rsid w:val="00DC0050"/>
    <w:rsid w:val="00DD0B6A"/>
    <w:rsid w:val="00DF0358"/>
    <w:rsid w:val="00DF5507"/>
    <w:rsid w:val="00DF7175"/>
    <w:rsid w:val="00E16D74"/>
    <w:rsid w:val="00E33230"/>
    <w:rsid w:val="00E368A9"/>
    <w:rsid w:val="00E42BAF"/>
    <w:rsid w:val="00E47174"/>
    <w:rsid w:val="00E5702F"/>
    <w:rsid w:val="00E87E1E"/>
    <w:rsid w:val="00E92843"/>
    <w:rsid w:val="00EA198D"/>
    <w:rsid w:val="00EA274B"/>
    <w:rsid w:val="00EA7862"/>
    <w:rsid w:val="00EB42D0"/>
    <w:rsid w:val="00EE06E4"/>
    <w:rsid w:val="00F5070E"/>
    <w:rsid w:val="00F67C3E"/>
    <w:rsid w:val="00F753F5"/>
    <w:rsid w:val="00F938B9"/>
    <w:rsid w:val="00F9751B"/>
    <w:rsid w:val="00FE049A"/>
    <w:rsid w:val="00FE2B61"/>
    <w:rsid w:val="00FE4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C34494-9F5E-4B5B-8A10-4FA6DB44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121A"/>
    <w:pPr>
      <w:widowControl w:val="0"/>
      <w:autoSpaceDE w:val="0"/>
      <w:autoSpaceDN w:val="0"/>
      <w:adjustRightInd w:val="0"/>
    </w:pPr>
    <w:rPr>
      <w:color w:val="000000"/>
      <w:sz w:val="24"/>
      <w:szCs w:val="24"/>
    </w:rPr>
  </w:style>
  <w:style w:type="character" w:customStyle="1" w:styleId="shorttext">
    <w:name w:val="short_text"/>
    <w:basedOn w:val="a0"/>
    <w:rsid w:val="002F121A"/>
  </w:style>
  <w:style w:type="paragraph" w:customStyle="1" w:styleId="1">
    <w:name w:val="Список литературы1"/>
    <w:basedOn w:val="Default"/>
    <w:rsid w:val="00DF7175"/>
    <w:pPr>
      <w:tabs>
        <w:tab w:val="left" w:pos="264"/>
      </w:tabs>
      <w:ind w:left="264" w:hanging="26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8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1831</Words>
  <Characters>10440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ЗАГОЛОВОК: ПРОПИСНЫМИ БУКВАМИ, ПОЛУЖИРНЫЙ ШРИФТ</vt:lpstr>
    </vt:vector>
  </TitlesOfParts>
  <Company>Институт Молекулярной Биологии РАН</Company>
  <LinksUpToDate>false</LinksUpToDate>
  <CharactersWithSpaces>12247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ЗАГОЛОВОК: ПРОПИСНЫМИ БУКВАМИ, ПОЛУЖИРНЫЙ ШРИФТ</dc:title>
  <dc:subject/>
  <dc:creator>Иван Филатов</dc:creator>
  <cp:keywords/>
  <dc:description/>
  <cp:lastModifiedBy>Andrew</cp:lastModifiedBy>
  <cp:revision>3</cp:revision>
  <dcterms:created xsi:type="dcterms:W3CDTF">2018-11-18T16:14:00Z</dcterms:created>
  <dcterms:modified xsi:type="dcterms:W3CDTF">2018-11-25T05:17:00Z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id="PEnqHQit"/&gt;&lt;style id="http://www.zotero.org/styles/gost-r-7-0-5-2008-numeric" hasBibliography="1" bibliographyStyleHasBeenSet="1"/&gt;&lt;prefs&gt;&lt;pref name="fieldType" value="Field"/&gt;&lt;/prefs&gt;&lt;/data&gt;</vt:lpwstr>
  </property>
</Properties>
</file>